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6C00D" w14:textId="77777777"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Remuneration Disclosure – MIFIDPRU 8.6</w:t>
      </w:r>
    </w:p>
    <w:p w14:paraId="3C525EB5" w14:textId="77777777"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Introduction</w:t>
      </w:r>
    </w:p>
    <w:p w14:paraId="3F081122" w14:textId="2DA538C6" w:rsidR="00A13731" w:rsidRPr="00A13731" w:rsidRDefault="00046E0B"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JTC</w:t>
      </w:r>
      <w:r w:rsidR="00A13731" w:rsidRPr="00A13731">
        <w:rPr>
          <w:rFonts w:ascii="Calibri" w:eastAsia="Calibri" w:hAnsi="Calibri" w:cs="Times New Roman"/>
          <w:kern w:val="0"/>
          <w14:ligatures w14:val="none"/>
        </w:rPr>
        <w:t xml:space="preserve"> GAS UK LLP (</w:t>
      </w:r>
      <w:r w:rsidR="002A1957">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is subject to the FCA Rules on remuneration as they apply to a small and non-interconnected (SNI) MIFIDPRU investment firm. These are contained in the FCA’s MIFIDPRU Remuneration Code located in SYSC19G of the FCA’s Handbook.</w:t>
      </w:r>
    </w:p>
    <w:p w14:paraId="338614DA" w14:textId="77777777"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Approach to Remuneration for all staff</w:t>
      </w:r>
    </w:p>
    <w:p w14:paraId="39DABE52" w14:textId="367FC5A5" w:rsidR="00A13731" w:rsidRPr="00A13731" w:rsidRDefault="00A13731" w:rsidP="00A13731">
      <w:pPr>
        <w:suppressAutoHyphens/>
        <w:spacing w:after="200" w:line="276" w:lineRule="auto"/>
        <w:jc w:val="both"/>
        <w:rPr>
          <w:rFonts w:ascii="Calibri" w:eastAsia="SimSun" w:hAnsi="Calibri" w:cs="Calibri"/>
          <w:kern w:val="0"/>
          <w:lang w:eastAsia="en-GB"/>
          <w14:ligatures w14:val="none"/>
        </w:rPr>
      </w:pPr>
      <w:r w:rsidRPr="00A13731">
        <w:rPr>
          <w:rFonts w:ascii="Calibri" w:eastAsia="SimSun" w:hAnsi="Calibri" w:cs="Calibri"/>
          <w:kern w:val="0"/>
          <w:lang w:eastAsia="en-GB"/>
          <w14:ligatures w14:val="none"/>
        </w:rPr>
        <w:t xml:space="preserve">Employees have the opportunity to share in the success of the </w:t>
      </w:r>
      <w:r w:rsidR="004A56A8">
        <w:rPr>
          <w:rFonts w:ascii="Calibri" w:eastAsia="SimSun" w:hAnsi="Calibri" w:cs="Calibri"/>
          <w:kern w:val="0"/>
          <w:lang w:eastAsia="en-GB"/>
          <w14:ligatures w14:val="none"/>
        </w:rPr>
        <w:t>Firm</w:t>
      </w:r>
      <w:r w:rsidR="004A56A8" w:rsidRPr="00A13731">
        <w:rPr>
          <w:rFonts w:ascii="Calibri" w:eastAsia="SimSun" w:hAnsi="Calibri" w:cs="Calibri"/>
          <w:kern w:val="0"/>
          <w:lang w:eastAsia="en-GB"/>
          <w14:ligatures w14:val="none"/>
        </w:rPr>
        <w:t xml:space="preserve"> </w:t>
      </w:r>
      <w:r w:rsidRPr="00A13731">
        <w:rPr>
          <w:rFonts w:ascii="Calibri" w:eastAsia="SimSun" w:hAnsi="Calibri" w:cs="Calibri"/>
          <w:kern w:val="0"/>
          <w:lang w:eastAsia="en-GB"/>
          <w14:ligatures w14:val="none"/>
        </w:rPr>
        <w:t>in years of good performance and also accept reduced levels of variable (bonus) pay in times of poor performance or losses.</w:t>
      </w:r>
    </w:p>
    <w:p w14:paraId="17C42270" w14:textId="5ECE1562" w:rsidR="00A13731" w:rsidRPr="00A13731" w:rsidRDefault="004A56A8"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xml:space="preserve"> does not remunerate or assess the performance of its staff in a way that conflicts with its duty to act in the best interests of its clients.</w:t>
      </w:r>
    </w:p>
    <w:p w14:paraId="5A69E393" w14:textId="50E29CE4" w:rsidR="00A13731" w:rsidRPr="00A13731" w:rsidRDefault="004A56A8"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 xml:space="preserve">The Firm </w:t>
      </w:r>
      <w:r w:rsidR="00A13731" w:rsidRPr="00A13731">
        <w:rPr>
          <w:rFonts w:ascii="Calibri" w:eastAsia="Calibri" w:hAnsi="Calibri" w:cs="Times New Roman"/>
          <w:kern w:val="0"/>
          <w14:ligatures w14:val="none"/>
        </w:rPr>
        <w:t xml:space="preserve">does not make any arrangement by way of remuneration, sales targets or otherwise that could provide an incentive to its staff to recommend a particular financial instrument to a client when </w:t>
      </w:r>
      <w:r>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xml:space="preserve"> could offer an alternative financial instrument which would better suit the client’s needs. </w:t>
      </w:r>
    </w:p>
    <w:p w14:paraId="2B4C63C8" w14:textId="7663BE94" w:rsidR="00A13731" w:rsidRDefault="004A56A8"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 xml:space="preserve">The Firm </w:t>
      </w:r>
      <w:r w:rsidR="00A13731" w:rsidRPr="00A13731">
        <w:rPr>
          <w:rFonts w:ascii="Calibri" w:eastAsia="Calibri" w:hAnsi="Calibri" w:cs="Times New Roman"/>
          <w:kern w:val="0"/>
          <w14:ligatures w14:val="none"/>
        </w:rPr>
        <w:t xml:space="preserve">is mindful of ensuring that its remuneration policy and practices do not lead to a conflict of interest or incentivise its staff to act in a manner that favours their own interests or </w:t>
      </w:r>
      <w:r>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’s interests to the potential detriment of any client or potential client.</w:t>
      </w:r>
    </w:p>
    <w:p w14:paraId="2C9CC048" w14:textId="77777777"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Objectives of financial incentives</w:t>
      </w:r>
    </w:p>
    <w:p w14:paraId="14894EB8" w14:textId="4B97D9ED" w:rsidR="00A13731" w:rsidRPr="00A13731" w:rsidRDefault="00F94EAC"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The Firm’s</w:t>
      </w:r>
      <w:r w:rsidR="00A13731" w:rsidRPr="00A13731">
        <w:rPr>
          <w:rFonts w:ascii="Calibri" w:eastAsia="Calibri" w:hAnsi="Calibri" w:cs="Times New Roman"/>
          <w:kern w:val="0"/>
          <w14:ligatures w14:val="none"/>
        </w:rPr>
        <w:t xml:space="preserve"> Remuneration Policy provides a framework to ensure all staff are fairly and competitively rewarded in return for a high level of service to </w:t>
      </w:r>
      <w:r w:rsidR="004A56A8">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xml:space="preserve"> and is clients. In setting remuneration levels </w:t>
      </w:r>
      <w:r w:rsidRPr="00F94EAC">
        <w:rPr>
          <w:rFonts w:ascii="Calibri" w:eastAsia="Calibri" w:hAnsi="Calibri" w:cs="Times New Roman"/>
          <w:kern w:val="0"/>
          <w14:ligatures w14:val="none"/>
        </w:rPr>
        <w:t xml:space="preserve"> </w:t>
      </w:r>
      <w:r>
        <w:rPr>
          <w:rFonts w:ascii="Calibri" w:eastAsia="Calibri" w:hAnsi="Calibri" w:cs="Times New Roman"/>
          <w:kern w:val="0"/>
          <w14:ligatures w14:val="none"/>
        </w:rPr>
        <w:t xml:space="preserve">the Firm </w:t>
      </w:r>
      <w:r w:rsidR="00A13731" w:rsidRPr="00A13731">
        <w:rPr>
          <w:rFonts w:ascii="Calibri" w:eastAsia="Calibri" w:hAnsi="Calibri" w:cs="Times New Roman"/>
          <w:kern w:val="0"/>
          <w14:ligatures w14:val="none"/>
        </w:rPr>
        <w:t>recognises the importance of attracting and retaining experienced staff. The amount of fixed remuneration paid to an employee will be based on market rates relevant to the employee’s role and their knowledge, experience, and competencies. Discretionary bonuses are made to employees to reward them for good performance with a view to increasing and maintaining their productivity.</w:t>
      </w:r>
    </w:p>
    <w:p w14:paraId="729DA409" w14:textId="77777777"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Decision Making</w:t>
      </w:r>
    </w:p>
    <w:p w14:paraId="24AADA24" w14:textId="1B90484B"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kern w:val="0"/>
          <w14:ligatures w14:val="none"/>
        </w:rPr>
        <w:t xml:space="preserve">Senior management shall be responsible for the implementation of this policy as well as the monitoring of compliance risks associated with it. This policy will be reviewed and approved by the management body at least annually to ensure it continues to remain fit for purpose with the input from </w:t>
      </w:r>
      <w:r w:rsidR="004A56A8">
        <w:rPr>
          <w:rFonts w:ascii="Calibri" w:eastAsia="Calibri" w:hAnsi="Calibri" w:cs="Times New Roman"/>
          <w:kern w:val="0"/>
          <w14:ligatures w14:val="none"/>
        </w:rPr>
        <w:t>the Firm</w:t>
      </w:r>
      <w:r w:rsidRPr="00A13731">
        <w:rPr>
          <w:rFonts w:ascii="Calibri" w:eastAsia="Calibri" w:hAnsi="Calibri" w:cs="Times New Roman"/>
          <w:kern w:val="0"/>
          <w14:ligatures w14:val="none"/>
        </w:rPr>
        <w:t xml:space="preserve">’s Compliance Officer. </w:t>
      </w:r>
    </w:p>
    <w:p w14:paraId="497F6E12" w14:textId="77777777"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Characteristics of Remuneration Policy and Practices</w:t>
      </w:r>
    </w:p>
    <w:p w14:paraId="38AE7DF5" w14:textId="6F8F0413" w:rsidR="00A13731" w:rsidRPr="00A13731" w:rsidRDefault="00A13731" w:rsidP="00A13731">
      <w:pPr>
        <w:jc w:val="both"/>
        <w:rPr>
          <w:rFonts w:ascii="Calibri" w:eastAsia="Calibri" w:hAnsi="Calibri" w:cs="Times New Roman"/>
          <w:kern w:val="0"/>
          <w14:ligatures w14:val="none"/>
        </w:rPr>
      </w:pPr>
      <w:r w:rsidRPr="00A13731">
        <w:rPr>
          <w:rFonts w:ascii="Calibri" w:eastAsia="Calibri" w:hAnsi="Calibri" w:cs="Times New Roman"/>
          <w:kern w:val="0"/>
          <w:shd w:val="clear" w:color="auto" w:fill="FFFFFF"/>
          <w14:ligatures w14:val="none"/>
        </w:rPr>
        <w:t>Remuneration typically comprises of fixed and variable elements. Fixed remuneration consists of base salary</w:t>
      </w:r>
      <w:r w:rsidR="00B80B74">
        <w:rPr>
          <w:rFonts w:ascii="Calibri" w:eastAsia="Calibri" w:hAnsi="Calibri" w:cs="Times New Roman"/>
          <w:kern w:val="0"/>
          <w:shd w:val="clear" w:color="auto" w:fill="FFFFFF"/>
          <w14:ligatures w14:val="none"/>
        </w:rPr>
        <w:t xml:space="preserve"> and</w:t>
      </w:r>
      <w:r w:rsidRPr="00A13731">
        <w:rPr>
          <w:rFonts w:ascii="Calibri" w:eastAsia="Calibri" w:hAnsi="Calibri" w:cs="Times New Roman"/>
          <w:kern w:val="0"/>
          <w:shd w:val="clear" w:color="auto" w:fill="FFFFFF"/>
          <w14:ligatures w14:val="none"/>
        </w:rPr>
        <w:t xml:space="preserve"> pension contribution and other benefits such as </w:t>
      </w:r>
      <w:r w:rsidRPr="00A13731">
        <w:rPr>
          <w:rFonts w:ascii="Calibri" w:eastAsia="Calibri" w:hAnsi="Calibri" w:cs="Times New Roman"/>
          <w:kern w:val="0"/>
          <w14:ligatures w14:val="none"/>
        </w:rPr>
        <w:t>defined contribution pension, private medical insurance</w:t>
      </w:r>
      <w:r w:rsidR="00B80B74">
        <w:rPr>
          <w:rFonts w:ascii="Calibri" w:eastAsia="Calibri" w:hAnsi="Calibri" w:cs="Times New Roman"/>
          <w:kern w:val="0"/>
          <w14:ligatures w14:val="none"/>
        </w:rPr>
        <w:t xml:space="preserve"> and</w:t>
      </w:r>
      <w:r w:rsidRPr="00A13731">
        <w:rPr>
          <w:rFonts w:ascii="Calibri" w:eastAsia="Calibri" w:hAnsi="Calibri" w:cs="Times New Roman"/>
          <w:kern w:val="0"/>
          <w14:ligatures w14:val="none"/>
        </w:rPr>
        <w:t xml:space="preserve"> life assurance which constitutes the fixed payment made to an employee for their services. </w:t>
      </w:r>
    </w:p>
    <w:p w14:paraId="1922FC8B" w14:textId="703BD986" w:rsidR="00A13731" w:rsidRPr="00A13731" w:rsidRDefault="00027719"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 xml:space="preserve">The Firm </w:t>
      </w:r>
      <w:r w:rsidR="00A13731" w:rsidRPr="00A13731">
        <w:rPr>
          <w:rFonts w:ascii="Calibri" w:eastAsia="Calibri" w:hAnsi="Calibri" w:cs="Times New Roman"/>
          <w:kern w:val="0"/>
          <w14:ligatures w14:val="none"/>
        </w:rPr>
        <w:t xml:space="preserve">has defined variable pay as annual discretionary bonus, which is awarded based on company performance, departmental performance and individual performance. </w:t>
      </w:r>
      <w:r w:rsidR="00993D87">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xml:space="preserve">’s policy on variable remuneration is to set aside a proportion of </w:t>
      </w:r>
      <w:r w:rsidR="004A56A8">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xml:space="preserve">’s profits to form a bonus pool out of which awards will be made. The total bonus pool amount is determined by reference to the Company’s risk-adjusted criteria, which include both quantitative and qualitative measures. </w:t>
      </w:r>
    </w:p>
    <w:p w14:paraId="6E3F207B" w14:textId="14EFEE55" w:rsidR="00A13731" w:rsidRPr="00A13731" w:rsidRDefault="004A56A8" w:rsidP="00A13731">
      <w:pPr>
        <w:jc w:val="both"/>
        <w:rPr>
          <w:rFonts w:ascii="Calibri" w:eastAsia="Calibri" w:hAnsi="Calibri" w:cs="Times New Roman"/>
          <w:kern w:val="0"/>
          <w14:ligatures w14:val="none"/>
        </w:rPr>
      </w:pPr>
      <w:r>
        <w:rPr>
          <w:rFonts w:ascii="Calibri" w:eastAsia="Calibri" w:hAnsi="Calibri" w:cs="Times New Roman"/>
          <w:kern w:val="0"/>
          <w14:ligatures w14:val="none"/>
        </w:rPr>
        <w:lastRenderedPageBreak/>
        <w:t>The Firm</w:t>
      </w:r>
      <w:r w:rsidR="00A13731" w:rsidRPr="00A13731">
        <w:rPr>
          <w:rFonts w:ascii="Calibri" w:eastAsia="Calibri" w:hAnsi="Calibri" w:cs="Times New Roman"/>
          <w:kern w:val="0"/>
          <w14:ligatures w14:val="none"/>
        </w:rPr>
        <w:t xml:space="preserve"> will ensure that remuneration and similar incentives will not be solely or primarily based on quantitative commercial criteria. Consequently, </w:t>
      </w:r>
      <w:r>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xml:space="preserve"> will take into account appropriate qualitative criteria (i.e. behavioural measures such as customer feedback) which shall encompass adherence with relevant regulations, fair treatment of clients and the quality of services provided to clients.</w:t>
      </w:r>
    </w:p>
    <w:p w14:paraId="06CE1389" w14:textId="5E552B23" w:rsidR="00A13731" w:rsidRDefault="004A56A8" w:rsidP="00A13731">
      <w:pPr>
        <w:jc w:val="both"/>
        <w:rPr>
          <w:rFonts w:ascii="Calibri" w:eastAsia="Calibri" w:hAnsi="Calibri" w:cs="Times New Roman"/>
          <w:kern w:val="0"/>
          <w14:ligatures w14:val="none"/>
        </w:rPr>
      </w:pPr>
      <w:r>
        <w:rPr>
          <w:rFonts w:ascii="Calibri" w:eastAsia="Calibri" w:hAnsi="Calibri" w:cs="Times New Roman"/>
          <w:kern w:val="0"/>
          <w14:ligatures w14:val="none"/>
        </w:rPr>
        <w:t>T</w:t>
      </w:r>
      <w:r w:rsidR="00CF661B">
        <w:rPr>
          <w:rFonts w:ascii="Calibri" w:eastAsia="Calibri" w:hAnsi="Calibri" w:cs="Times New Roman"/>
          <w:kern w:val="0"/>
          <w14:ligatures w14:val="none"/>
        </w:rPr>
        <w:t>he Firm</w:t>
      </w:r>
      <w:r w:rsidR="00A13731" w:rsidRPr="00A13731">
        <w:rPr>
          <w:rFonts w:ascii="Calibri" w:eastAsia="Calibri" w:hAnsi="Calibri" w:cs="Times New Roman"/>
          <w:kern w:val="0"/>
          <w14:ligatures w14:val="none"/>
        </w:rPr>
        <w:t xml:space="preserve"> ensures it always maintains a balance between fixed and variable components of remuneration, so as to mitigate any conflicts of interest between </w:t>
      </w:r>
      <w:r>
        <w:rPr>
          <w:rFonts w:ascii="Calibri" w:eastAsia="Calibri" w:hAnsi="Calibri" w:cs="Times New Roman"/>
          <w:kern w:val="0"/>
          <w14:ligatures w14:val="none"/>
        </w:rPr>
        <w:t>the Firm</w:t>
      </w:r>
      <w:r w:rsidR="00A13731" w:rsidRPr="00A13731">
        <w:rPr>
          <w:rFonts w:ascii="Calibri" w:eastAsia="Calibri" w:hAnsi="Calibri" w:cs="Times New Roman"/>
          <w:kern w:val="0"/>
          <w14:ligatures w14:val="none"/>
        </w:rPr>
        <w:t>, its staff and its clients.</w:t>
      </w:r>
    </w:p>
    <w:p w14:paraId="4E8CBEFE" w14:textId="77777777" w:rsidR="00503E0B" w:rsidRPr="00B7673D" w:rsidRDefault="00503E0B" w:rsidP="00A13731">
      <w:pPr>
        <w:jc w:val="both"/>
        <w:rPr>
          <w:rFonts w:ascii="Calibri" w:eastAsia="Calibri" w:hAnsi="Calibri" w:cs="Times New Roman"/>
          <w:b/>
          <w:bCs/>
          <w:kern w:val="0"/>
          <w14:ligatures w14:val="none"/>
        </w:rPr>
      </w:pPr>
      <w:r w:rsidRPr="00B7673D">
        <w:rPr>
          <w:rFonts w:ascii="Calibri" w:eastAsia="Calibri" w:hAnsi="Calibri" w:cs="Times New Roman"/>
          <w:b/>
          <w:bCs/>
          <w:kern w:val="0"/>
          <w14:ligatures w14:val="none"/>
        </w:rPr>
        <w:t xml:space="preserve">Timing of disclosure </w:t>
      </w:r>
    </w:p>
    <w:p w14:paraId="232223E8" w14:textId="1C507241" w:rsidR="00503E0B" w:rsidRPr="00A13731" w:rsidRDefault="00503E0B" w:rsidP="00A13731">
      <w:pPr>
        <w:jc w:val="both"/>
        <w:rPr>
          <w:rFonts w:ascii="Calibri" w:eastAsia="Calibri" w:hAnsi="Calibri" w:cs="Times New Roman"/>
          <w:kern w:val="0"/>
          <w14:ligatures w14:val="none"/>
        </w:rPr>
      </w:pPr>
      <w:r w:rsidRPr="00503E0B">
        <w:rPr>
          <w:rFonts w:ascii="Calibri" w:eastAsia="Calibri" w:hAnsi="Calibri" w:cs="Times New Roman"/>
          <w:kern w:val="0"/>
          <w14:ligatures w14:val="none"/>
        </w:rPr>
        <w:t xml:space="preserve">This disclosure is published annually </w:t>
      </w:r>
      <w:r w:rsidR="00966AC6">
        <w:rPr>
          <w:rFonts w:ascii="Calibri" w:eastAsia="Calibri" w:hAnsi="Calibri" w:cs="Times New Roman"/>
          <w:kern w:val="0"/>
          <w14:ligatures w14:val="none"/>
        </w:rPr>
        <w:t xml:space="preserve">after the end of the financial year. </w:t>
      </w:r>
    </w:p>
    <w:p w14:paraId="2AD02432" w14:textId="0464B66F" w:rsidR="00A13731" w:rsidRPr="00A13731" w:rsidRDefault="00A13731" w:rsidP="00A13731">
      <w:pPr>
        <w:jc w:val="both"/>
        <w:rPr>
          <w:rFonts w:ascii="Calibri" w:eastAsia="Calibri" w:hAnsi="Calibri" w:cs="Times New Roman"/>
          <w:b/>
          <w:bCs/>
          <w:kern w:val="0"/>
          <w14:ligatures w14:val="none"/>
        </w:rPr>
      </w:pPr>
      <w:r w:rsidRPr="00A13731">
        <w:rPr>
          <w:rFonts w:ascii="Calibri" w:eastAsia="Calibri" w:hAnsi="Calibri" w:cs="Times New Roman"/>
          <w:b/>
          <w:bCs/>
          <w:kern w:val="0"/>
          <w14:ligatures w14:val="none"/>
        </w:rPr>
        <w:t xml:space="preserve">Remuneration for year ending </w:t>
      </w:r>
      <w:r w:rsidR="00D16210">
        <w:rPr>
          <w:rFonts w:ascii="Calibri" w:eastAsia="Calibri" w:hAnsi="Calibri" w:cs="Times New Roman"/>
          <w:b/>
          <w:bCs/>
          <w:kern w:val="0"/>
          <w14:ligatures w14:val="none"/>
        </w:rPr>
        <w:t>30</w:t>
      </w:r>
      <w:r w:rsidR="00D16210" w:rsidRPr="00D16210">
        <w:rPr>
          <w:rFonts w:ascii="Calibri" w:eastAsia="Calibri" w:hAnsi="Calibri" w:cs="Times New Roman"/>
          <w:b/>
          <w:bCs/>
          <w:kern w:val="0"/>
          <w:vertAlign w:val="superscript"/>
          <w14:ligatures w14:val="none"/>
        </w:rPr>
        <w:t>th</w:t>
      </w:r>
      <w:r w:rsidR="00D16210">
        <w:rPr>
          <w:rFonts w:ascii="Calibri" w:eastAsia="Calibri" w:hAnsi="Calibri" w:cs="Times New Roman"/>
          <w:b/>
          <w:bCs/>
          <w:kern w:val="0"/>
          <w14:ligatures w14:val="none"/>
        </w:rPr>
        <w:t xml:space="preserve"> June</w:t>
      </w:r>
      <w:r w:rsidRPr="00A13731">
        <w:rPr>
          <w:rFonts w:ascii="Calibri" w:eastAsia="Calibri" w:hAnsi="Calibri" w:cs="Times New Roman"/>
          <w:b/>
          <w:bCs/>
          <w:kern w:val="0"/>
          <w14:ligatures w14:val="none"/>
        </w:rPr>
        <w:t xml:space="preserve"> 202</w:t>
      </w:r>
      <w:r w:rsidR="003B3AA1">
        <w:rPr>
          <w:rFonts w:ascii="Calibri" w:eastAsia="Calibri" w:hAnsi="Calibri" w:cs="Times New Roman"/>
          <w:b/>
          <w:bCs/>
          <w:kern w:val="0"/>
          <w14:ligatures w14:val="none"/>
        </w:rPr>
        <w:t>3</w:t>
      </w:r>
      <w:r w:rsidR="00277286">
        <w:rPr>
          <w:rFonts w:ascii="Calibri" w:eastAsia="Calibri" w:hAnsi="Calibri" w:cs="Times New Roman"/>
          <w:b/>
          <w:bCs/>
          <w:kern w:val="0"/>
          <w14:ligatures w14:val="none"/>
        </w:rPr>
        <w:t>*</w:t>
      </w:r>
      <w:r w:rsidRPr="00A13731">
        <w:rPr>
          <w:rFonts w:ascii="Calibri" w:eastAsia="Calibri" w:hAnsi="Calibri" w:cs="Times New Roman"/>
          <w:b/>
          <w:bCs/>
          <w:kern w:val="0"/>
          <w14:ligatures w14:val="none"/>
        </w:rPr>
        <w:t xml:space="preserve"> </w:t>
      </w:r>
    </w:p>
    <w:tbl>
      <w:tblPr>
        <w:tblStyle w:val="TableGrid1"/>
        <w:tblW w:w="0" w:type="auto"/>
        <w:tblLook w:val="04A0" w:firstRow="1" w:lastRow="0" w:firstColumn="1" w:lastColumn="0" w:noHBand="0" w:noVBand="1"/>
      </w:tblPr>
      <w:tblGrid>
        <w:gridCol w:w="6091"/>
        <w:gridCol w:w="2925"/>
      </w:tblGrid>
      <w:tr w:rsidR="00A13731" w:rsidRPr="00A13731" w14:paraId="17AFB480" w14:textId="77777777" w:rsidTr="00A13731">
        <w:tc>
          <w:tcPr>
            <w:tcW w:w="9016" w:type="dxa"/>
            <w:gridSpan w:val="2"/>
            <w:shd w:val="clear" w:color="auto" w:fill="D9E2F3"/>
          </w:tcPr>
          <w:p w14:paraId="0E095933" w14:textId="77777777" w:rsidR="00A13731" w:rsidRPr="00A13731" w:rsidRDefault="00A13731" w:rsidP="00A13731">
            <w:pPr>
              <w:jc w:val="both"/>
              <w:rPr>
                <w:rFonts w:ascii="Calibri" w:eastAsia="Calibri" w:hAnsi="Calibri" w:cs="Times New Roman"/>
                <w:b/>
                <w:bCs/>
              </w:rPr>
            </w:pPr>
            <w:r w:rsidRPr="00A13731">
              <w:rPr>
                <w:rFonts w:ascii="Calibri" w:eastAsia="Calibri" w:hAnsi="Calibri" w:cs="Times New Roman"/>
                <w:b/>
                <w:bCs/>
              </w:rPr>
              <w:t>Staff remuneration (GBP)</w:t>
            </w:r>
          </w:p>
        </w:tc>
      </w:tr>
      <w:tr w:rsidR="00A13731" w:rsidRPr="00A13731" w14:paraId="7966B8E5" w14:textId="77777777" w:rsidTr="001647F1">
        <w:tc>
          <w:tcPr>
            <w:tcW w:w="6091" w:type="dxa"/>
          </w:tcPr>
          <w:p w14:paraId="4AAC441A" w14:textId="77777777" w:rsidR="00A13731" w:rsidRPr="00A13731" w:rsidRDefault="00A13731" w:rsidP="00A13731">
            <w:pPr>
              <w:jc w:val="both"/>
              <w:rPr>
                <w:rFonts w:ascii="Calibri" w:eastAsia="Calibri" w:hAnsi="Calibri" w:cs="Times New Roman"/>
                <w:b/>
                <w:bCs/>
              </w:rPr>
            </w:pPr>
            <w:r w:rsidRPr="00A13731">
              <w:rPr>
                <w:rFonts w:ascii="Calibri" w:eastAsia="Calibri" w:hAnsi="Calibri" w:cs="Times New Roman"/>
                <w:b/>
                <w:bCs/>
              </w:rPr>
              <w:t>Fixed remuneration</w:t>
            </w:r>
          </w:p>
        </w:tc>
        <w:tc>
          <w:tcPr>
            <w:tcW w:w="2925" w:type="dxa"/>
          </w:tcPr>
          <w:p w14:paraId="4DBD7CBA" w14:textId="30CB3301" w:rsidR="00A13731" w:rsidRPr="00A13731" w:rsidRDefault="00933A33" w:rsidP="00B7673D">
            <w:pPr>
              <w:jc w:val="right"/>
              <w:rPr>
                <w:rFonts w:ascii="Calibri" w:eastAsia="Calibri" w:hAnsi="Calibri" w:cs="Times New Roman"/>
                <w:b/>
                <w:bCs/>
              </w:rPr>
            </w:pPr>
            <w:r>
              <w:rPr>
                <w:rFonts w:ascii="Calibri" w:eastAsia="Calibri" w:hAnsi="Calibri" w:cs="Calibri"/>
                <w:b/>
                <w:bCs/>
              </w:rPr>
              <w:t>£</w:t>
            </w:r>
            <w:r>
              <w:rPr>
                <w:rFonts w:ascii="Calibri" w:eastAsia="Calibri" w:hAnsi="Calibri" w:cs="Times New Roman"/>
                <w:b/>
                <w:bCs/>
              </w:rPr>
              <w:t>0</w:t>
            </w:r>
          </w:p>
        </w:tc>
      </w:tr>
      <w:tr w:rsidR="00A13731" w:rsidRPr="00A13731" w14:paraId="7A2EACBB" w14:textId="77777777" w:rsidTr="001647F1">
        <w:tc>
          <w:tcPr>
            <w:tcW w:w="6091" w:type="dxa"/>
          </w:tcPr>
          <w:p w14:paraId="74D01469" w14:textId="77777777" w:rsidR="00A13731" w:rsidRPr="00A13731" w:rsidRDefault="00A13731" w:rsidP="00A13731">
            <w:pPr>
              <w:jc w:val="both"/>
              <w:rPr>
                <w:rFonts w:ascii="Calibri" w:eastAsia="Calibri" w:hAnsi="Calibri" w:cs="Times New Roman"/>
                <w:b/>
                <w:bCs/>
              </w:rPr>
            </w:pPr>
            <w:r w:rsidRPr="00A13731">
              <w:rPr>
                <w:rFonts w:ascii="Calibri" w:eastAsia="Calibri" w:hAnsi="Calibri" w:cs="Times New Roman"/>
                <w:b/>
                <w:bCs/>
              </w:rPr>
              <w:t>Variable Remuneration</w:t>
            </w:r>
          </w:p>
        </w:tc>
        <w:tc>
          <w:tcPr>
            <w:tcW w:w="2925" w:type="dxa"/>
          </w:tcPr>
          <w:p w14:paraId="6DABFDA6" w14:textId="4623624D" w:rsidR="00A13731" w:rsidRPr="00A13731" w:rsidRDefault="00933A33" w:rsidP="00B7673D">
            <w:pPr>
              <w:jc w:val="right"/>
              <w:rPr>
                <w:rFonts w:ascii="Calibri" w:eastAsia="Calibri" w:hAnsi="Calibri" w:cs="Times New Roman"/>
                <w:b/>
                <w:bCs/>
              </w:rPr>
            </w:pPr>
            <w:r>
              <w:rPr>
                <w:rFonts w:ascii="Calibri" w:eastAsia="Calibri" w:hAnsi="Calibri" w:cs="Calibri"/>
                <w:b/>
                <w:bCs/>
              </w:rPr>
              <w:t>£</w:t>
            </w:r>
            <w:r>
              <w:rPr>
                <w:rFonts w:ascii="Calibri" w:eastAsia="Calibri" w:hAnsi="Calibri" w:cs="Times New Roman"/>
                <w:b/>
                <w:bCs/>
              </w:rPr>
              <w:t>50 700</w:t>
            </w:r>
          </w:p>
        </w:tc>
      </w:tr>
      <w:tr w:rsidR="00A13731" w:rsidRPr="00A13731" w14:paraId="707BB71C" w14:textId="77777777" w:rsidTr="001647F1">
        <w:tc>
          <w:tcPr>
            <w:tcW w:w="6091" w:type="dxa"/>
          </w:tcPr>
          <w:p w14:paraId="6BA583A2" w14:textId="77777777" w:rsidR="00A13731" w:rsidRPr="00A13731" w:rsidRDefault="00A13731" w:rsidP="00A13731">
            <w:pPr>
              <w:jc w:val="both"/>
              <w:rPr>
                <w:rFonts w:ascii="Calibri" w:eastAsia="Calibri" w:hAnsi="Calibri" w:cs="Times New Roman"/>
                <w:b/>
                <w:bCs/>
              </w:rPr>
            </w:pPr>
            <w:r w:rsidRPr="00A13731">
              <w:rPr>
                <w:rFonts w:ascii="Calibri" w:eastAsia="Calibri" w:hAnsi="Calibri" w:cs="Times New Roman"/>
                <w:b/>
                <w:bCs/>
              </w:rPr>
              <w:t>Total Remuneration</w:t>
            </w:r>
          </w:p>
        </w:tc>
        <w:tc>
          <w:tcPr>
            <w:tcW w:w="2925" w:type="dxa"/>
          </w:tcPr>
          <w:p w14:paraId="47B7C7E0" w14:textId="31D9BDA6" w:rsidR="00A13731" w:rsidRPr="00A13731" w:rsidRDefault="00933A33" w:rsidP="00B7673D">
            <w:pPr>
              <w:jc w:val="right"/>
              <w:rPr>
                <w:rFonts w:ascii="Calibri" w:eastAsia="Calibri" w:hAnsi="Calibri" w:cs="Times New Roman"/>
                <w:b/>
                <w:bCs/>
              </w:rPr>
            </w:pPr>
            <w:r>
              <w:rPr>
                <w:rFonts w:ascii="Calibri" w:eastAsia="Calibri" w:hAnsi="Calibri" w:cs="Calibri"/>
                <w:b/>
                <w:bCs/>
              </w:rPr>
              <w:t>£</w:t>
            </w:r>
            <w:r>
              <w:rPr>
                <w:rFonts w:ascii="Calibri" w:eastAsia="Calibri" w:hAnsi="Calibri" w:cs="Times New Roman"/>
                <w:b/>
                <w:bCs/>
              </w:rPr>
              <w:t>50 700</w:t>
            </w:r>
          </w:p>
        </w:tc>
      </w:tr>
    </w:tbl>
    <w:p w14:paraId="552CAC19" w14:textId="77777777" w:rsidR="00A13731" w:rsidRPr="00A13731" w:rsidRDefault="00A13731" w:rsidP="00A13731">
      <w:pPr>
        <w:jc w:val="both"/>
        <w:rPr>
          <w:rFonts w:ascii="Calibri" w:eastAsia="Calibri" w:hAnsi="Calibri" w:cs="Times New Roman"/>
          <w:b/>
          <w:bCs/>
          <w:kern w:val="0"/>
          <w14:ligatures w14:val="none"/>
        </w:rPr>
      </w:pPr>
    </w:p>
    <w:p w14:paraId="5EDD4E78" w14:textId="19125488" w:rsidR="0026653D" w:rsidRPr="00B7673D" w:rsidRDefault="00277286" w:rsidP="00B7673D">
      <w:pPr>
        <w:jc w:val="both"/>
        <w:rPr>
          <w:rFonts w:ascii="Calibri" w:eastAsia="Calibri" w:hAnsi="Calibri" w:cs="Times New Roman"/>
          <w:kern w:val="0"/>
          <w14:ligatures w14:val="none"/>
        </w:rPr>
      </w:pPr>
      <w:r w:rsidRPr="00B7673D">
        <w:rPr>
          <w:rFonts w:ascii="Calibri" w:eastAsia="Calibri" w:hAnsi="Calibri" w:cs="Times New Roman"/>
          <w:b/>
          <w:bCs/>
          <w:kern w:val="0"/>
          <w14:ligatures w14:val="none"/>
        </w:rPr>
        <w:t>*</w:t>
      </w:r>
      <w:r w:rsidRPr="00B7673D">
        <w:rPr>
          <w:rFonts w:ascii="Calibri" w:eastAsia="Calibri" w:hAnsi="Calibri" w:cs="Times New Roman"/>
          <w:kern w:val="0"/>
          <w14:ligatures w14:val="none"/>
        </w:rPr>
        <w:t xml:space="preserve"> </w:t>
      </w:r>
      <w:r w:rsidR="005D4356">
        <w:rPr>
          <w:rFonts w:ascii="Calibri" w:eastAsia="Calibri" w:hAnsi="Calibri" w:cs="Times New Roman"/>
          <w:kern w:val="0"/>
          <w14:ligatures w14:val="none"/>
        </w:rPr>
        <w:t>The</w:t>
      </w:r>
      <w:r w:rsidR="00077C90">
        <w:rPr>
          <w:rFonts w:ascii="Calibri" w:eastAsia="Calibri" w:hAnsi="Calibri" w:cs="Times New Roman"/>
          <w:kern w:val="0"/>
          <w14:ligatures w14:val="none"/>
        </w:rPr>
        <w:t xml:space="preserve"> remuneration figures </w:t>
      </w:r>
      <w:r w:rsidR="005D4356">
        <w:rPr>
          <w:rFonts w:ascii="Calibri" w:eastAsia="Calibri" w:hAnsi="Calibri" w:cs="Times New Roman"/>
          <w:kern w:val="0"/>
          <w14:ligatures w14:val="none"/>
        </w:rPr>
        <w:t xml:space="preserve">are from </w:t>
      </w:r>
      <w:r w:rsidR="00A26589">
        <w:rPr>
          <w:rFonts w:ascii="Calibri" w:eastAsia="Calibri" w:hAnsi="Calibri" w:cs="Times New Roman"/>
          <w:kern w:val="0"/>
          <w14:ligatures w14:val="none"/>
        </w:rPr>
        <w:t>the</w:t>
      </w:r>
      <w:r w:rsidR="005D4356">
        <w:rPr>
          <w:rFonts w:ascii="Calibri" w:eastAsia="Calibri" w:hAnsi="Calibri" w:cs="Times New Roman"/>
          <w:kern w:val="0"/>
          <w14:ligatures w14:val="none"/>
        </w:rPr>
        <w:t xml:space="preserve"> </w:t>
      </w:r>
      <w:r w:rsidR="00A529FE">
        <w:rPr>
          <w:rFonts w:ascii="Calibri" w:eastAsia="Calibri" w:hAnsi="Calibri" w:cs="Times New Roman"/>
          <w:kern w:val="0"/>
          <w14:ligatures w14:val="none"/>
        </w:rPr>
        <w:t xml:space="preserve">latest </w:t>
      </w:r>
      <w:r w:rsidR="005D4356">
        <w:rPr>
          <w:rFonts w:ascii="Calibri" w:eastAsia="Calibri" w:hAnsi="Calibri" w:cs="Times New Roman"/>
          <w:kern w:val="0"/>
          <w14:ligatures w14:val="none"/>
        </w:rPr>
        <w:t>annual financial statements</w:t>
      </w:r>
      <w:r w:rsidR="003F6D04">
        <w:rPr>
          <w:rFonts w:ascii="Calibri" w:eastAsia="Calibri" w:hAnsi="Calibri" w:cs="Times New Roman"/>
          <w:kern w:val="0"/>
          <w14:ligatures w14:val="none"/>
        </w:rPr>
        <w:t xml:space="preserve"> for </w:t>
      </w:r>
      <w:r w:rsidR="00F13D72">
        <w:rPr>
          <w:rFonts w:ascii="Calibri" w:eastAsia="Calibri" w:hAnsi="Calibri" w:cs="Times New Roman"/>
          <w:kern w:val="0"/>
          <w14:ligatures w14:val="none"/>
        </w:rPr>
        <w:t xml:space="preserve">the period </w:t>
      </w:r>
      <w:r w:rsidR="00E739BC">
        <w:rPr>
          <w:rFonts w:ascii="Calibri" w:eastAsia="Calibri" w:hAnsi="Calibri" w:cs="Times New Roman"/>
          <w:kern w:val="0"/>
          <w14:ligatures w14:val="none"/>
        </w:rPr>
        <w:t>1</w:t>
      </w:r>
      <w:r w:rsidR="00E739BC" w:rsidRPr="00B7673D">
        <w:rPr>
          <w:rFonts w:ascii="Calibri" w:eastAsia="Calibri" w:hAnsi="Calibri" w:cs="Times New Roman"/>
          <w:kern w:val="0"/>
          <w:vertAlign w:val="superscript"/>
          <w14:ligatures w14:val="none"/>
        </w:rPr>
        <w:t>st</w:t>
      </w:r>
      <w:r w:rsidR="00E739BC">
        <w:rPr>
          <w:rFonts w:ascii="Calibri" w:eastAsia="Calibri" w:hAnsi="Calibri" w:cs="Times New Roman"/>
          <w:kern w:val="0"/>
          <w14:ligatures w14:val="none"/>
        </w:rPr>
        <w:t xml:space="preserve"> July 2022 -</w:t>
      </w:r>
      <w:r w:rsidR="003F6D04">
        <w:rPr>
          <w:rFonts w:ascii="Calibri" w:eastAsia="Calibri" w:hAnsi="Calibri" w:cs="Times New Roman"/>
          <w:kern w:val="0"/>
          <w14:ligatures w14:val="none"/>
        </w:rPr>
        <w:t xml:space="preserve"> </w:t>
      </w:r>
      <w:r w:rsidR="009C4DBC">
        <w:rPr>
          <w:rFonts w:ascii="Calibri" w:eastAsia="Calibri" w:hAnsi="Calibri" w:cs="Times New Roman"/>
          <w:kern w:val="0"/>
          <w14:ligatures w14:val="none"/>
        </w:rPr>
        <w:t>30</w:t>
      </w:r>
      <w:r w:rsidR="009C4DBC" w:rsidRPr="00B7673D">
        <w:rPr>
          <w:rFonts w:ascii="Calibri" w:eastAsia="Calibri" w:hAnsi="Calibri" w:cs="Times New Roman"/>
          <w:kern w:val="0"/>
          <w:vertAlign w:val="superscript"/>
          <w14:ligatures w14:val="none"/>
        </w:rPr>
        <w:t>th</w:t>
      </w:r>
      <w:r w:rsidR="009C4DBC">
        <w:rPr>
          <w:rFonts w:ascii="Calibri" w:eastAsia="Calibri" w:hAnsi="Calibri" w:cs="Times New Roman"/>
          <w:kern w:val="0"/>
          <w14:ligatures w14:val="none"/>
        </w:rPr>
        <w:t xml:space="preserve"> June 2023</w:t>
      </w:r>
      <w:r w:rsidR="005D4356">
        <w:rPr>
          <w:rFonts w:ascii="Calibri" w:eastAsia="Calibri" w:hAnsi="Calibri" w:cs="Times New Roman"/>
          <w:kern w:val="0"/>
          <w14:ligatures w14:val="none"/>
        </w:rPr>
        <w:t>.</w:t>
      </w:r>
      <w:r w:rsidR="00077C90">
        <w:rPr>
          <w:rFonts w:ascii="Calibri" w:eastAsia="Calibri" w:hAnsi="Calibri" w:cs="Times New Roman"/>
          <w:kern w:val="0"/>
          <w14:ligatures w14:val="none"/>
        </w:rPr>
        <w:t xml:space="preserve"> </w:t>
      </w:r>
      <w:r w:rsidR="00A26589">
        <w:rPr>
          <w:rFonts w:ascii="Calibri" w:eastAsia="Calibri" w:hAnsi="Calibri" w:cs="Times New Roman"/>
          <w:kern w:val="0"/>
          <w14:ligatures w14:val="none"/>
        </w:rPr>
        <w:t>The Firm’s</w:t>
      </w:r>
      <w:r w:rsidR="00E032C4">
        <w:rPr>
          <w:rFonts w:ascii="Calibri" w:eastAsia="Calibri" w:hAnsi="Calibri" w:cs="Times New Roman"/>
          <w:kern w:val="0"/>
          <w14:ligatures w14:val="none"/>
        </w:rPr>
        <w:t xml:space="preserve"> year end has </w:t>
      </w:r>
      <w:r w:rsidR="00E4554E">
        <w:rPr>
          <w:rFonts w:ascii="Calibri" w:eastAsia="Calibri" w:hAnsi="Calibri" w:cs="Times New Roman"/>
          <w:kern w:val="0"/>
          <w14:ligatures w14:val="none"/>
        </w:rPr>
        <w:t xml:space="preserve">subsequently </w:t>
      </w:r>
      <w:r w:rsidR="00E032C4">
        <w:rPr>
          <w:rFonts w:ascii="Calibri" w:eastAsia="Calibri" w:hAnsi="Calibri" w:cs="Times New Roman"/>
          <w:kern w:val="0"/>
          <w14:ligatures w14:val="none"/>
        </w:rPr>
        <w:t>changed to 31</w:t>
      </w:r>
      <w:r w:rsidR="00E032C4" w:rsidRPr="008113E9">
        <w:rPr>
          <w:rFonts w:ascii="Calibri" w:eastAsia="Calibri" w:hAnsi="Calibri" w:cs="Times New Roman"/>
          <w:kern w:val="0"/>
          <w:vertAlign w:val="superscript"/>
          <w14:ligatures w14:val="none"/>
        </w:rPr>
        <w:t>st</w:t>
      </w:r>
      <w:r w:rsidR="00E032C4">
        <w:rPr>
          <w:rFonts w:ascii="Calibri" w:eastAsia="Calibri" w:hAnsi="Calibri" w:cs="Times New Roman"/>
          <w:kern w:val="0"/>
          <w14:ligatures w14:val="none"/>
        </w:rPr>
        <w:t xml:space="preserve"> December</w:t>
      </w:r>
      <w:r w:rsidR="007160EF">
        <w:rPr>
          <w:rFonts w:ascii="Calibri" w:eastAsia="Calibri" w:hAnsi="Calibri" w:cs="Times New Roman"/>
          <w:kern w:val="0"/>
          <w14:ligatures w14:val="none"/>
        </w:rPr>
        <w:t xml:space="preserve"> </w:t>
      </w:r>
      <w:r w:rsidR="009E0CCC">
        <w:rPr>
          <w:rFonts w:ascii="Calibri" w:eastAsia="Calibri" w:hAnsi="Calibri" w:cs="Times New Roman"/>
          <w:kern w:val="0"/>
          <w14:ligatures w14:val="none"/>
        </w:rPr>
        <w:t>and the next set of financials will run from 1</w:t>
      </w:r>
      <w:r w:rsidR="009E0CCC" w:rsidRPr="00B7673D">
        <w:rPr>
          <w:rFonts w:ascii="Calibri" w:eastAsia="Calibri" w:hAnsi="Calibri" w:cs="Times New Roman"/>
          <w:kern w:val="0"/>
          <w:vertAlign w:val="superscript"/>
          <w14:ligatures w14:val="none"/>
        </w:rPr>
        <w:t>st</w:t>
      </w:r>
      <w:r w:rsidR="009E0CCC">
        <w:rPr>
          <w:rFonts w:ascii="Calibri" w:eastAsia="Calibri" w:hAnsi="Calibri" w:cs="Times New Roman"/>
          <w:kern w:val="0"/>
          <w14:ligatures w14:val="none"/>
        </w:rPr>
        <w:t xml:space="preserve"> July 2023 – 31</w:t>
      </w:r>
      <w:r w:rsidR="009E0CCC" w:rsidRPr="00B7673D">
        <w:rPr>
          <w:rFonts w:ascii="Calibri" w:eastAsia="Calibri" w:hAnsi="Calibri" w:cs="Times New Roman"/>
          <w:kern w:val="0"/>
          <w:vertAlign w:val="superscript"/>
          <w14:ligatures w14:val="none"/>
        </w:rPr>
        <w:t>st</w:t>
      </w:r>
      <w:r w:rsidR="009E0CCC">
        <w:rPr>
          <w:rFonts w:ascii="Calibri" w:eastAsia="Calibri" w:hAnsi="Calibri" w:cs="Times New Roman"/>
          <w:kern w:val="0"/>
          <w14:ligatures w14:val="none"/>
        </w:rPr>
        <w:t xml:space="preserve"> December 2024 with the </w:t>
      </w:r>
      <w:r w:rsidR="0010721F">
        <w:rPr>
          <w:rFonts w:ascii="Calibri" w:eastAsia="Calibri" w:hAnsi="Calibri" w:cs="Times New Roman"/>
          <w:kern w:val="0"/>
          <w14:ligatures w14:val="none"/>
        </w:rPr>
        <w:t xml:space="preserve">remuneration figures </w:t>
      </w:r>
      <w:r w:rsidR="0066533E">
        <w:rPr>
          <w:rFonts w:ascii="Calibri" w:eastAsia="Calibri" w:hAnsi="Calibri" w:cs="Times New Roman"/>
          <w:kern w:val="0"/>
          <w14:ligatures w14:val="none"/>
        </w:rPr>
        <w:t>published thereafter.</w:t>
      </w:r>
    </w:p>
    <w:sectPr w:rsidR="0026653D" w:rsidRPr="00B7673D" w:rsidSect="00A1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D325F"/>
    <w:multiLevelType w:val="hybridMultilevel"/>
    <w:tmpl w:val="203042A2"/>
    <w:lvl w:ilvl="0" w:tplc="EEE8E7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41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31"/>
    <w:rsid w:val="000261C0"/>
    <w:rsid w:val="00027719"/>
    <w:rsid w:val="00046E0B"/>
    <w:rsid w:val="00077C90"/>
    <w:rsid w:val="000E7C4F"/>
    <w:rsid w:val="0010721F"/>
    <w:rsid w:val="001D0984"/>
    <w:rsid w:val="0026653D"/>
    <w:rsid w:val="00274A64"/>
    <w:rsid w:val="00277286"/>
    <w:rsid w:val="002A1957"/>
    <w:rsid w:val="002B3329"/>
    <w:rsid w:val="003537B6"/>
    <w:rsid w:val="003B3AA1"/>
    <w:rsid w:val="003F6D04"/>
    <w:rsid w:val="004710EA"/>
    <w:rsid w:val="004943CE"/>
    <w:rsid w:val="004A56A8"/>
    <w:rsid w:val="00503E0B"/>
    <w:rsid w:val="005403D9"/>
    <w:rsid w:val="00545B4B"/>
    <w:rsid w:val="005A44E3"/>
    <w:rsid w:val="005D4356"/>
    <w:rsid w:val="0066533E"/>
    <w:rsid w:val="007160EF"/>
    <w:rsid w:val="00722C3B"/>
    <w:rsid w:val="007253EC"/>
    <w:rsid w:val="00733EDC"/>
    <w:rsid w:val="007753C1"/>
    <w:rsid w:val="00782EA8"/>
    <w:rsid w:val="00811606"/>
    <w:rsid w:val="008D036B"/>
    <w:rsid w:val="00933A33"/>
    <w:rsid w:val="00943912"/>
    <w:rsid w:val="00966AC6"/>
    <w:rsid w:val="00991DE1"/>
    <w:rsid w:val="00993D87"/>
    <w:rsid w:val="009C4DBC"/>
    <w:rsid w:val="009E0CCC"/>
    <w:rsid w:val="00A13731"/>
    <w:rsid w:val="00A26589"/>
    <w:rsid w:val="00A529FE"/>
    <w:rsid w:val="00AA67B0"/>
    <w:rsid w:val="00B45ECF"/>
    <w:rsid w:val="00B7673D"/>
    <w:rsid w:val="00B80B74"/>
    <w:rsid w:val="00C24426"/>
    <w:rsid w:val="00C313CF"/>
    <w:rsid w:val="00CF661B"/>
    <w:rsid w:val="00D16210"/>
    <w:rsid w:val="00D66A17"/>
    <w:rsid w:val="00DE55C3"/>
    <w:rsid w:val="00E032C4"/>
    <w:rsid w:val="00E23EA4"/>
    <w:rsid w:val="00E4554E"/>
    <w:rsid w:val="00E739BC"/>
    <w:rsid w:val="00E76A19"/>
    <w:rsid w:val="00F13D72"/>
    <w:rsid w:val="00F73F49"/>
    <w:rsid w:val="00F94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66E0"/>
  <w15:chartTrackingRefBased/>
  <w15:docId w15:val="{10411D5E-6316-49D9-8AA4-1131C44B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731"/>
    <w:rPr>
      <w:rFonts w:eastAsiaTheme="majorEastAsia" w:cstheme="majorBidi"/>
      <w:color w:val="272727" w:themeColor="text1" w:themeTint="D8"/>
    </w:rPr>
  </w:style>
  <w:style w:type="paragraph" w:styleId="Title">
    <w:name w:val="Title"/>
    <w:basedOn w:val="Normal"/>
    <w:next w:val="Normal"/>
    <w:link w:val="TitleChar"/>
    <w:uiPriority w:val="10"/>
    <w:qFormat/>
    <w:rsid w:val="00A13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731"/>
    <w:pPr>
      <w:spacing w:before="160"/>
      <w:jc w:val="center"/>
    </w:pPr>
    <w:rPr>
      <w:i/>
      <w:iCs/>
      <w:color w:val="404040" w:themeColor="text1" w:themeTint="BF"/>
    </w:rPr>
  </w:style>
  <w:style w:type="character" w:customStyle="1" w:styleId="QuoteChar">
    <w:name w:val="Quote Char"/>
    <w:basedOn w:val="DefaultParagraphFont"/>
    <w:link w:val="Quote"/>
    <w:uiPriority w:val="29"/>
    <w:rsid w:val="00A13731"/>
    <w:rPr>
      <w:i/>
      <w:iCs/>
      <w:color w:val="404040" w:themeColor="text1" w:themeTint="BF"/>
    </w:rPr>
  </w:style>
  <w:style w:type="paragraph" w:styleId="ListParagraph">
    <w:name w:val="List Paragraph"/>
    <w:basedOn w:val="Normal"/>
    <w:uiPriority w:val="34"/>
    <w:qFormat/>
    <w:rsid w:val="00A13731"/>
    <w:pPr>
      <w:ind w:left="720"/>
      <w:contextualSpacing/>
    </w:pPr>
  </w:style>
  <w:style w:type="character" w:styleId="IntenseEmphasis">
    <w:name w:val="Intense Emphasis"/>
    <w:basedOn w:val="DefaultParagraphFont"/>
    <w:uiPriority w:val="21"/>
    <w:qFormat/>
    <w:rsid w:val="00A13731"/>
    <w:rPr>
      <w:i/>
      <w:iCs/>
      <w:color w:val="0F4761" w:themeColor="accent1" w:themeShade="BF"/>
    </w:rPr>
  </w:style>
  <w:style w:type="paragraph" w:styleId="IntenseQuote">
    <w:name w:val="Intense Quote"/>
    <w:basedOn w:val="Normal"/>
    <w:next w:val="Normal"/>
    <w:link w:val="IntenseQuoteChar"/>
    <w:uiPriority w:val="30"/>
    <w:qFormat/>
    <w:rsid w:val="00A13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731"/>
    <w:rPr>
      <w:i/>
      <w:iCs/>
      <w:color w:val="0F4761" w:themeColor="accent1" w:themeShade="BF"/>
    </w:rPr>
  </w:style>
  <w:style w:type="character" w:styleId="IntenseReference">
    <w:name w:val="Intense Reference"/>
    <w:basedOn w:val="DefaultParagraphFont"/>
    <w:uiPriority w:val="32"/>
    <w:qFormat/>
    <w:rsid w:val="00A13731"/>
    <w:rPr>
      <w:b/>
      <w:bCs/>
      <w:smallCaps/>
      <w:color w:val="0F4761" w:themeColor="accent1" w:themeShade="BF"/>
      <w:spacing w:val="5"/>
    </w:rPr>
  </w:style>
  <w:style w:type="table" w:customStyle="1" w:styleId="TableGrid1">
    <w:name w:val="Table Grid1"/>
    <w:basedOn w:val="TableNormal"/>
    <w:next w:val="TableGrid"/>
    <w:uiPriority w:val="39"/>
    <w:rsid w:val="00A137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731"/>
    <w:rPr>
      <w:sz w:val="16"/>
      <w:szCs w:val="16"/>
    </w:rPr>
  </w:style>
  <w:style w:type="paragraph" w:customStyle="1" w:styleId="CommentText1">
    <w:name w:val="Comment Text1"/>
    <w:basedOn w:val="Normal"/>
    <w:next w:val="CommentText"/>
    <w:link w:val="CommentTextChar"/>
    <w:uiPriority w:val="99"/>
    <w:unhideWhenUsed/>
    <w:rsid w:val="00A13731"/>
    <w:pPr>
      <w:spacing w:line="240" w:lineRule="auto"/>
    </w:pPr>
    <w:rPr>
      <w:sz w:val="20"/>
      <w:szCs w:val="20"/>
    </w:rPr>
  </w:style>
  <w:style w:type="character" w:customStyle="1" w:styleId="CommentTextChar">
    <w:name w:val="Comment Text Char"/>
    <w:basedOn w:val="DefaultParagraphFont"/>
    <w:link w:val="CommentText1"/>
    <w:uiPriority w:val="99"/>
    <w:rsid w:val="00A13731"/>
    <w:rPr>
      <w:sz w:val="20"/>
      <w:szCs w:val="20"/>
    </w:rPr>
  </w:style>
  <w:style w:type="table" w:styleId="TableGrid">
    <w:name w:val="Table Grid"/>
    <w:basedOn w:val="TableNormal"/>
    <w:uiPriority w:val="39"/>
    <w:rsid w:val="00A1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A13731"/>
    <w:pPr>
      <w:spacing w:line="240" w:lineRule="auto"/>
    </w:pPr>
    <w:rPr>
      <w:sz w:val="20"/>
      <w:szCs w:val="20"/>
    </w:rPr>
  </w:style>
  <w:style w:type="character" w:customStyle="1" w:styleId="CommentTextChar1">
    <w:name w:val="Comment Text Char1"/>
    <w:basedOn w:val="DefaultParagraphFont"/>
    <w:link w:val="CommentText"/>
    <w:uiPriority w:val="99"/>
    <w:rsid w:val="00A13731"/>
    <w:rPr>
      <w:sz w:val="20"/>
      <w:szCs w:val="20"/>
    </w:rPr>
  </w:style>
  <w:style w:type="paragraph" w:styleId="CommentSubject">
    <w:name w:val="annotation subject"/>
    <w:basedOn w:val="CommentText"/>
    <w:next w:val="CommentText"/>
    <w:link w:val="CommentSubjectChar"/>
    <w:uiPriority w:val="99"/>
    <w:semiHidden/>
    <w:unhideWhenUsed/>
    <w:rsid w:val="00A13731"/>
    <w:rPr>
      <w:b/>
      <w:bCs/>
    </w:rPr>
  </w:style>
  <w:style w:type="character" w:customStyle="1" w:styleId="CommentSubjectChar">
    <w:name w:val="Comment Subject Char"/>
    <w:basedOn w:val="CommentTextChar1"/>
    <w:link w:val="CommentSubject"/>
    <w:uiPriority w:val="99"/>
    <w:semiHidden/>
    <w:rsid w:val="00A13731"/>
    <w:rPr>
      <w:b/>
      <w:bCs/>
      <w:sz w:val="20"/>
      <w:szCs w:val="20"/>
    </w:rPr>
  </w:style>
  <w:style w:type="paragraph" w:styleId="Revision">
    <w:name w:val="Revision"/>
    <w:hidden/>
    <w:uiPriority w:val="99"/>
    <w:semiHidden/>
    <w:rsid w:val="002A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7BACE43AF37459BBDC6D592D04462" ma:contentTypeVersion="16" ma:contentTypeDescription="Create a new document." ma:contentTypeScope="" ma:versionID="7e5e54999d4c547c56d81ef38810c180">
  <xsd:schema xmlns:xsd="http://www.w3.org/2001/XMLSchema" xmlns:xs="http://www.w3.org/2001/XMLSchema" xmlns:p="http://schemas.microsoft.com/office/2006/metadata/properties" xmlns:ns2="aa4a0cf8-a8af-4001-85b3-e9f38c4fbc4b" targetNamespace="http://schemas.microsoft.com/office/2006/metadata/properties" ma:root="true" ma:fieldsID="43b8b866ac050429859d29d4c471934b" ns2:_="">
    <xsd:import namespace="aa4a0cf8-a8af-4001-85b3-e9f38c4fbc4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MigrationWizIdPermissionLevels" minOccurs="0"/>
                <xsd:element ref="ns2:MigrationWizIdDocumentLibraryPermissions" minOccurs="0"/>
                <xsd:element ref="ns2:MigrationWizIdSecurityGroup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a0cf8-a8af-4001-85b3-e9f38c4fbc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MigrationWizIdPermissionLevels" ma:index="17" nillable="true" ma:displayName="MigrationWizIdPermissionLevels" ma:internalName="MigrationWizIdPermissionLevels">
      <xsd:simpleType>
        <xsd:restriction base="dms:Text"/>
      </xsd:simpleType>
    </xsd:element>
    <xsd:element name="MigrationWizIdDocumentLibraryPermissions" ma:index="18" nillable="true" ma:displayName="MigrationWizIdDocumentLibraryPermissions" ma:internalName="MigrationWizIdDocumentLibraryPermissions">
      <xsd:simpleType>
        <xsd:restriction base="dms:Text"/>
      </xsd:simpleType>
    </xsd:element>
    <xsd:element name="MigrationWizIdSecurityGroups" ma:index="19" nillable="true" ma:displayName="MigrationWizIdSecurityGroups" ma:internalName="MigrationWizIdSecurityGroups">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aa4a0cf8-a8af-4001-85b3-e9f38c4fbc4b" xsi:nil="true"/>
    <MigrationWizIdSecurityGroups xmlns="aa4a0cf8-a8af-4001-85b3-e9f38c4fbc4b" xsi:nil="true"/>
    <MigrationWizId xmlns="aa4a0cf8-a8af-4001-85b3-e9f38c4fbc4b" xsi:nil="true"/>
    <MigrationWizIdPermissionLevels xmlns="aa4a0cf8-a8af-4001-85b3-e9f38c4fbc4b" xsi:nil="true"/>
    <lcf76f155ced4ddcb4097134ff3c332f1 xmlns="aa4a0cf8-a8af-4001-85b3-e9f38c4fbc4b" xsi:nil="true"/>
    <lcf76f155ced4ddcb4097134ff3c332f0 xmlns="aa4a0cf8-a8af-4001-85b3-e9f38c4fbc4b" xsi:nil="true"/>
    <MigrationWizIdPermissions xmlns="aa4a0cf8-a8af-4001-85b3-e9f38c4fbc4b" xsi:nil="true"/>
    <MigrationWizIdVersion xmlns="aa4a0cf8-a8af-4001-85b3-e9f38c4fbc4b" xsi:nil="true"/>
  </documentManagement>
</p:properties>
</file>

<file path=customXml/itemProps1.xml><?xml version="1.0" encoding="utf-8"?>
<ds:datastoreItem xmlns:ds="http://schemas.openxmlformats.org/officeDocument/2006/customXml" ds:itemID="{234C3EE8-0E4D-4E82-B863-76585739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a0cf8-a8af-4001-85b3-e9f38c4fb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88835-2AEB-4047-8B10-8D2A6E049F0C}">
  <ds:schemaRefs>
    <ds:schemaRef ds:uri="http://schemas.microsoft.com/sharepoint/v3/contenttype/forms"/>
  </ds:schemaRefs>
</ds:datastoreItem>
</file>

<file path=customXml/itemProps3.xml><?xml version="1.0" encoding="utf-8"?>
<ds:datastoreItem xmlns:ds="http://schemas.openxmlformats.org/officeDocument/2006/customXml" ds:itemID="{39EFC6DB-0C96-4DC6-BFF6-761E02A342BC}">
  <ds:schemaRefs>
    <ds:schemaRef ds:uri="http://schemas.microsoft.com/office/2006/metadata/properties"/>
    <ds:schemaRef ds:uri="http://schemas.microsoft.com/office/infopath/2007/PartnerControls"/>
    <ds:schemaRef ds:uri="aa4a0cf8-a8af-4001-85b3-e9f38c4fbc4b"/>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Motobbir</dc:creator>
  <cp:keywords/>
  <dc:description/>
  <cp:lastModifiedBy>Candice Henderson</cp:lastModifiedBy>
  <cp:revision>55</cp:revision>
  <dcterms:created xsi:type="dcterms:W3CDTF">2024-08-27T11:48:00Z</dcterms:created>
  <dcterms:modified xsi:type="dcterms:W3CDTF">2024-08-30T13:12:00Z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0x0101003C87BACE43AF37459BBDC6D592D04462</vt:lpwstr>
  </property>
</Properties>
</file>